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《生药学》课程实施方案</w:t>
      </w:r>
    </w:p>
    <w:p>
      <w:pPr>
        <w:widowControl/>
        <w:spacing w:after="150" w:line="480" w:lineRule="exact"/>
        <w:jc w:val="left"/>
        <w:rPr>
          <w:rFonts w:ascii="宋体" w:hAnsi="宋体"/>
          <w:sz w:val="24"/>
        </w:rPr>
      </w:pPr>
      <w:r>
        <w:rPr>
          <w:rFonts w:ascii="宋体" w:hAnsi="宋体"/>
          <w:sz w:val="24"/>
        </w:rPr>
        <w:t>　一、</w:t>
      </w:r>
      <w:r>
        <w:rPr>
          <w:rFonts w:hint="eastAsia" w:ascii="宋体" w:hAnsi="宋体"/>
          <w:sz w:val="24"/>
        </w:rPr>
        <w:t>课程基本情况</w:t>
      </w:r>
    </w:p>
    <w:p>
      <w:pPr>
        <w:widowControl/>
        <w:spacing w:after="150" w:line="480" w:lineRule="exact"/>
        <w:jc w:val="left"/>
        <w:rPr>
          <w:rFonts w:ascii="宋体" w:hAnsi="宋体"/>
          <w:sz w:val="24"/>
        </w:rPr>
      </w:pPr>
      <w:r>
        <w:rPr>
          <w:rFonts w:ascii="宋体" w:hAnsi="宋体"/>
          <w:sz w:val="24"/>
        </w:rPr>
        <w:t>　　1．考核对象</w:t>
      </w:r>
    </w:p>
    <w:p>
      <w:pPr>
        <w:widowControl/>
        <w:spacing w:after="150" w:line="480" w:lineRule="exact"/>
        <w:jc w:val="left"/>
        <w:rPr>
          <w:rFonts w:ascii="宋体" w:hAnsi="宋体"/>
          <w:sz w:val="24"/>
        </w:rPr>
      </w:pPr>
      <w:r>
        <w:rPr>
          <w:rFonts w:ascii="宋体" w:hAnsi="宋体"/>
          <w:sz w:val="24"/>
        </w:rPr>
        <w:t>　　国家开放大学开放教育药学、药品与经营管理专业的学生。</w:t>
      </w:r>
    </w:p>
    <w:p>
      <w:pPr>
        <w:widowControl/>
        <w:spacing w:after="150" w:line="480" w:lineRule="exact"/>
        <w:jc w:val="left"/>
        <w:rPr>
          <w:rFonts w:ascii="宋体" w:hAnsi="宋体"/>
          <w:sz w:val="24"/>
        </w:rPr>
      </w:pPr>
      <w:r>
        <w:rPr>
          <w:rFonts w:ascii="宋体" w:hAnsi="宋体"/>
          <w:sz w:val="24"/>
        </w:rPr>
        <w:t>　　2．启用时间</w:t>
      </w:r>
    </w:p>
    <w:p>
      <w:pPr>
        <w:widowControl/>
        <w:spacing w:after="150" w:line="480" w:lineRule="exact"/>
        <w:jc w:val="left"/>
        <w:rPr>
          <w:rFonts w:ascii="宋体" w:hAnsi="宋体"/>
          <w:sz w:val="24"/>
        </w:rPr>
      </w:pPr>
      <w:r>
        <w:rPr>
          <w:rFonts w:ascii="宋体" w:hAnsi="宋体"/>
          <w:sz w:val="24"/>
        </w:rPr>
        <w:t>　　从201</w:t>
      </w:r>
      <w:r>
        <w:rPr>
          <w:rFonts w:hint="eastAsia" w:ascii="宋体" w:hAnsi="宋体"/>
          <w:sz w:val="24"/>
        </w:rPr>
        <w:t>9</w:t>
      </w:r>
      <w:r>
        <w:rPr>
          <w:rFonts w:ascii="宋体" w:hAnsi="宋体"/>
          <w:sz w:val="24"/>
        </w:rPr>
        <w:t>年</w:t>
      </w:r>
      <w:r>
        <w:rPr>
          <w:rFonts w:hint="eastAsia" w:ascii="宋体" w:hAnsi="宋体"/>
          <w:sz w:val="24"/>
        </w:rPr>
        <w:t>秋</w:t>
      </w:r>
      <w:r>
        <w:rPr>
          <w:rFonts w:ascii="宋体" w:hAnsi="宋体"/>
          <w:sz w:val="24"/>
        </w:rPr>
        <w:t>季开始使用。</w:t>
      </w:r>
    </w:p>
    <w:p>
      <w:pPr>
        <w:widowControl/>
        <w:spacing w:after="150" w:line="480" w:lineRule="exact"/>
        <w:ind w:firstLine="480" w:firstLineChars="200"/>
        <w:jc w:val="left"/>
        <w:rPr>
          <w:rFonts w:ascii="宋体" w:hAnsi="宋体"/>
          <w:sz w:val="24"/>
        </w:rPr>
      </w:pPr>
      <w:r>
        <w:rPr>
          <w:rFonts w:ascii="宋体" w:hAnsi="宋体"/>
          <w:sz w:val="24"/>
        </w:rPr>
        <w:t>3．考核</w:t>
      </w:r>
      <w:r>
        <w:rPr>
          <w:rFonts w:hint="eastAsia" w:ascii="宋体" w:hAnsi="宋体"/>
          <w:sz w:val="24"/>
        </w:rPr>
        <w:t>要点</w:t>
      </w:r>
    </w:p>
    <w:p>
      <w:pPr>
        <w:widowControl/>
        <w:spacing w:after="150" w:line="480" w:lineRule="exact"/>
        <w:ind w:firstLine="480" w:firstLineChars="200"/>
        <w:jc w:val="left"/>
        <w:rPr>
          <w:rFonts w:ascii="宋体" w:hAnsi="宋体"/>
          <w:sz w:val="24"/>
        </w:rPr>
      </w:pPr>
      <w:r>
        <w:rPr>
          <w:rFonts w:ascii="宋体" w:hAnsi="宋体"/>
          <w:sz w:val="24"/>
        </w:rPr>
        <w:t>本课程采用百分百形考的课程考核形式。</w:t>
      </w:r>
    </w:p>
    <w:p>
      <w:pPr>
        <w:widowControl/>
        <w:spacing w:after="150" w:line="480" w:lineRule="exact"/>
        <w:jc w:val="left"/>
        <w:rPr>
          <w:rFonts w:ascii="宋体" w:hAnsi="宋体"/>
          <w:sz w:val="24"/>
        </w:rPr>
      </w:pPr>
      <w:r>
        <w:rPr>
          <w:rFonts w:ascii="宋体" w:hAnsi="宋体"/>
          <w:sz w:val="24"/>
        </w:rPr>
        <w:t>　</w:t>
      </w:r>
    </w:p>
    <w:p>
      <w:pPr>
        <w:widowControl/>
        <w:spacing w:after="150" w:line="480" w:lineRule="exact"/>
        <w:ind w:firstLine="240" w:firstLineChars="100"/>
        <w:jc w:val="left"/>
        <w:rPr>
          <w:rFonts w:ascii="宋体" w:hAnsi="宋体"/>
          <w:sz w:val="24"/>
        </w:rPr>
      </w:pPr>
      <w:r>
        <w:rPr>
          <w:rFonts w:ascii="宋体" w:hAnsi="宋体"/>
          <w:sz w:val="24"/>
        </w:rPr>
        <w:t>二、考核方式与要求</w:t>
      </w:r>
    </w:p>
    <w:p>
      <w:pPr>
        <w:tabs>
          <w:tab w:val="left" w:pos="315"/>
        </w:tabs>
        <w:spacing w:line="480" w:lineRule="exact"/>
        <w:ind w:right="-118" w:firstLine="413"/>
        <w:rPr>
          <w:rFonts w:ascii="宋体" w:hAnsi="宋体"/>
          <w:sz w:val="24"/>
        </w:rPr>
      </w:pPr>
      <w:r>
        <w:rPr>
          <w:rFonts w:hint="eastAsia" w:ascii="宋体" w:hAnsi="宋体"/>
          <w:sz w:val="24"/>
        </w:rPr>
        <w:t>1</w:t>
      </w:r>
      <w:r>
        <w:rPr>
          <w:rFonts w:ascii="宋体" w:hAnsi="宋体"/>
          <w:sz w:val="24"/>
        </w:rPr>
        <w:t>．</w:t>
      </w:r>
      <w:r>
        <w:rPr>
          <w:rFonts w:hint="eastAsia" w:ascii="宋体" w:hAnsi="宋体"/>
          <w:sz w:val="24"/>
        </w:rPr>
        <w:t>形成性考核由学生平时学习表现和完成大作业情况组成。</w:t>
      </w:r>
    </w:p>
    <w:p>
      <w:pPr>
        <w:spacing w:line="480" w:lineRule="exact"/>
        <w:ind w:right="-118" w:firstLine="420"/>
        <w:rPr>
          <w:rFonts w:ascii="宋体" w:hAnsi="宋体"/>
          <w:sz w:val="24"/>
        </w:rPr>
      </w:pPr>
      <w:r>
        <w:rPr>
          <w:rFonts w:hint="eastAsia" w:ascii="宋体" w:hAnsi="宋体"/>
          <w:sz w:val="24"/>
        </w:rPr>
        <w:t>2</w:t>
      </w:r>
      <w:r>
        <w:rPr>
          <w:rFonts w:ascii="宋体" w:hAnsi="宋体"/>
          <w:sz w:val="24"/>
        </w:rPr>
        <w:t>．</w:t>
      </w:r>
      <w:r>
        <w:rPr>
          <w:rFonts w:hint="eastAsia" w:ascii="宋体" w:hAnsi="宋体"/>
          <w:sz w:val="24"/>
        </w:rPr>
        <w:t>学生平时学习表现占总形考成绩的20%，此项由导修主任主任按照学生平时参与学校或者班级教学活动的行为表现打分，满分20分；大作业成绩占总形考成绩的80%，大作业见附件一，满分80分</w:t>
      </w:r>
    </w:p>
    <w:p>
      <w:pPr>
        <w:tabs>
          <w:tab w:val="left" w:pos="315"/>
        </w:tabs>
        <w:spacing w:line="480" w:lineRule="exact"/>
        <w:ind w:right="-118" w:firstLine="413"/>
        <w:rPr>
          <w:rFonts w:ascii="宋体" w:hAnsi="宋体"/>
          <w:sz w:val="24"/>
        </w:rPr>
      </w:pPr>
      <w:r>
        <w:rPr>
          <w:rFonts w:hint="eastAsia" w:ascii="宋体" w:hAnsi="宋体"/>
          <w:sz w:val="24"/>
        </w:rPr>
        <w:t>3.成绩</w:t>
      </w:r>
      <w:r>
        <w:rPr>
          <w:rFonts w:ascii="宋体" w:hAnsi="宋体"/>
          <w:sz w:val="24"/>
        </w:rPr>
        <w:t>由</w:t>
      </w:r>
      <w:r>
        <w:rPr>
          <w:rFonts w:hint="eastAsia" w:ascii="宋体" w:hAnsi="宋体"/>
          <w:sz w:val="24"/>
        </w:rPr>
        <w:t>分校</w:t>
      </w:r>
      <w:r>
        <w:rPr>
          <w:rFonts w:ascii="宋体" w:hAnsi="宋体"/>
          <w:sz w:val="24"/>
        </w:rPr>
        <w:t>直接认定</w:t>
      </w:r>
      <w:r>
        <w:rPr>
          <w:rFonts w:hint="eastAsia" w:ascii="宋体" w:hAnsi="宋体"/>
          <w:sz w:val="24"/>
        </w:rPr>
        <w:t>，</w:t>
      </w:r>
      <w:r>
        <w:rPr>
          <w:rFonts w:ascii="宋体" w:hAnsi="宋体"/>
          <w:sz w:val="24"/>
        </w:rPr>
        <w:t>录入成绩。</w:t>
      </w:r>
    </w:p>
    <w:p>
      <w:pPr>
        <w:tabs>
          <w:tab w:val="left" w:pos="315"/>
        </w:tabs>
        <w:spacing w:line="480" w:lineRule="exact"/>
        <w:ind w:right="-118" w:firstLine="413"/>
        <w:rPr>
          <w:rFonts w:ascii="宋体" w:hAnsi="宋体"/>
          <w:sz w:val="24"/>
        </w:rPr>
      </w:pPr>
    </w:p>
    <w:p>
      <w:pPr>
        <w:tabs>
          <w:tab w:val="left" w:pos="315"/>
        </w:tabs>
        <w:spacing w:line="480" w:lineRule="exact"/>
        <w:ind w:right="-118" w:firstLine="413"/>
        <w:rPr>
          <w:rFonts w:ascii="宋体" w:hAnsi="宋体"/>
          <w:sz w:val="24"/>
        </w:rPr>
      </w:pPr>
      <w:r>
        <w:rPr>
          <w:rFonts w:hint="eastAsia" w:ascii="宋体" w:hAnsi="宋体"/>
          <w:sz w:val="24"/>
        </w:rPr>
        <w:t>三、几点说明</w:t>
      </w:r>
    </w:p>
    <w:p>
      <w:pPr>
        <w:tabs>
          <w:tab w:val="left" w:pos="315"/>
        </w:tabs>
        <w:spacing w:line="480" w:lineRule="exact"/>
        <w:ind w:right="-118" w:firstLine="413"/>
        <w:rPr>
          <w:rFonts w:ascii="宋体" w:hAnsi="宋体"/>
          <w:sz w:val="24"/>
        </w:rPr>
      </w:pPr>
      <w:r>
        <w:rPr>
          <w:rFonts w:hint="eastAsia" w:ascii="宋体" w:hAnsi="宋体"/>
          <w:sz w:val="24"/>
        </w:rPr>
        <w:t>1</w:t>
      </w:r>
      <w:r>
        <w:rPr>
          <w:rFonts w:ascii="宋体" w:hAnsi="宋体"/>
          <w:sz w:val="24"/>
        </w:rPr>
        <w:t>.</w:t>
      </w:r>
      <w:r>
        <w:rPr>
          <w:rFonts w:hint="eastAsia" w:ascii="宋体" w:hAnsi="宋体"/>
          <w:sz w:val="24"/>
        </w:rPr>
        <w:t>课程学习依托教材开展，教材是辅助学习工具。</w:t>
      </w:r>
    </w:p>
    <w:p>
      <w:pPr>
        <w:tabs>
          <w:tab w:val="left" w:pos="315"/>
        </w:tabs>
        <w:spacing w:line="480" w:lineRule="exact"/>
        <w:ind w:right="-118" w:firstLine="413"/>
        <w:rPr>
          <w:rFonts w:ascii="宋体" w:hAnsi="宋体"/>
          <w:sz w:val="24"/>
        </w:rPr>
      </w:pPr>
      <w:r>
        <w:rPr>
          <w:rFonts w:hint="eastAsia" w:ascii="宋体" w:hAnsi="宋体"/>
          <w:sz w:val="24"/>
        </w:rPr>
        <w:t>2.学生如果对成绩有异议，可以向分校责任老师申诉，由分校责任老师负责评定或解释。</w:t>
      </w:r>
    </w:p>
    <w:p>
      <w:pPr>
        <w:tabs>
          <w:tab w:val="left" w:pos="315"/>
        </w:tabs>
        <w:spacing w:line="480" w:lineRule="exact"/>
        <w:ind w:right="-118" w:firstLine="413"/>
        <w:rPr>
          <w:rFonts w:hint="eastAsia" w:ascii="宋体" w:hAnsi="宋体"/>
          <w:sz w:val="24"/>
        </w:rPr>
      </w:pPr>
    </w:p>
    <w:p>
      <w:pPr>
        <w:tabs>
          <w:tab w:val="left" w:pos="315"/>
        </w:tabs>
        <w:spacing w:line="480" w:lineRule="exact"/>
        <w:ind w:right="-118" w:firstLine="413"/>
        <w:rPr>
          <w:rFonts w:hint="eastAsia" w:ascii="宋体" w:hAnsi="宋体"/>
          <w:sz w:val="24"/>
        </w:rPr>
      </w:pPr>
    </w:p>
    <w:p>
      <w:pPr>
        <w:tabs>
          <w:tab w:val="left" w:pos="315"/>
        </w:tabs>
        <w:spacing w:line="480" w:lineRule="exact"/>
        <w:ind w:right="-118" w:firstLine="413"/>
        <w:rPr>
          <w:rFonts w:hint="eastAsia" w:ascii="宋体" w:hAnsi="宋体"/>
          <w:sz w:val="24"/>
        </w:rPr>
      </w:pPr>
    </w:p>
    <w:p>
      <w:pPr>
        <w:tabs>
          <w:tab w:val="left" w:pos="315"/>
        </w:tabs>
        <w:spacing w:line="480" w:lineRule="exact"/>
        <w:ind w:right="-118" w:firstLine="413"/>
        <w:rPr>
          <w:rFonts w:hint="eastAsia" w:ascii="宋体" w:hAnsi="宋体"/>
          <w:sz w:val="24"/>
        </w:rPr>
      </w:pPr>
    </w:p>
    <w:p>
      <w:pPr>
        <w:tabs>
          <w:tab w:val="left" w:pos="315"/>
        </w:tabs>
        <w:spacing w:line="480" w:lineRule="exact"/>
        <w:ind w:right="-118" w:firstLine="413"/>
        <w:rPr>
          <w:rFonts w:hint="eastAsia" w:ascii="宋体" w:hAnsi="宋体"/>
          <w:sz w:val="24"/>
        </w:rPr>
      </w:pPr>
    </w:p>
    <w:p>
      <w:pPr>
        <w:tabs>
          <w:tab w:val="left" w:pos="315"/>
        </w:tabs>
        <w:spacing w:line="480" w:lineRule="exact"/>
        <w:ind w:right="-118" w:firstLine="413"/>
        <w:rPr>
          <w:rFonts w:hint="eastAsia" w:ascii="宋体" w:hAnsi="宋体"/>
          <w:sz w:val="24"/>
        </w:rPr>
      </w:pPr>
    </w:p>
    <w:p>
      <w:pPr>
        <w:tabs>
          <w:tab w:val="left" w:pos="315"/>
        </w:tabs>
        <w:spacing w:line="480" w:lineRule="exact"/>
        <w:ind w:right="-118" w:firstLine="413"/>
        <w:rPr>
          <w:rFonts w:hint="eastAsia" w:ascii="宋体" w:hAnsi="宋体"/>
          <w:sz w:val="24"/>
        </w:rPr>
      </w:pPr>
      <w:r>
        <w:rPr>
          <w:rFonts w:hint="eastAsia" w:ascii="宋体" w:hAnsi="宋体"/>
          <w:sz w:val="24"/>
        </w:rPr>
        <w:t>附件一</w:t>
      </w:r>
    </w:p>
    <w:p>
      <w:pPr>
        <w:spacing w:line="360" w:lineRule="auto"/>
        <w:rPr>
          <w:rFonts w:hint="eastAsia"/>
          <w:sz w:val="44"/>
          <w:szCs w:val="44"/>
        </w:rPr>
      </w:pPr>
    </w:p>
    <w:p>
      <w:pPr>
        <w:spacing w:line="288" w:lineRule="auto"/>
        <w:jc w:val="center"/>
        <w:rPr>
          <w:rFonts w:ascii="Adobe 宋体 Std L" w:hAnsi="Adobe 宋体 Std L" w:eastAsia="Adobe 宋体 Std L" w:cs="Adobe 宋体 Std L"/>
          <w:b/>
          <w:bCs/>
          <w:color w:val="000000"/>
          <w:sz w:val="32"/>
        </w:rPr>
      </w:pPr>
    </w:p>
    <w:p>
      <w:pPr>
        <w:spacing w:line="288" w:lineRule="auto"/>
        <w:jc w:val="center"/>
        <w:rPr>
          <w:rFonts w:hint="eastAsia" w:ascii="Adobe 宋体 Std L" w:hAnsi="Adobe 宋体 Std L" w:eastAsia="Adobe 宋体 Std L" w:cs="Adobe 宋体 Std L"/>
          <w:b/>
          <w:bCs/>
          <w:color w:val="000000"/>
          <w:sz w:val="32"/>
        </w:rPr>
      </w:pPr>
      <w:r>
        <w:rPr>
          <w:rFonts w:hint="eastAsia" w:ascii="Adobe 宋体 Std L" w:hAnsi="Adobe 宋体 Std L" w:eastAsia="Adobe 宋体 Std L" w:cs="Adobe 宋体 Std L"/>
          <w:b/>
          <w:bCs/>
          <w:color w:val="000000"/>
          <w:sz w:val="32"/>
        </w:rPr>
        <w:t>国家开放大学专科大作业</w:t>
      </w:r>
    </w:p>
    <w:p>
      <w:pPr>
        <w:jc w:val="center"/>
        <w:rPr>
          <w:rFonts w:hint="eastAsia" w:eastAsia="黑体"/>
          <w:b/>
          <w:bCs/>
          <w:sz w:val="24"/>
        </w:rPr>
      </w:pPr>
    </w:p>
    <w:p>
      <w:pPr>
        <w:rPr>
          <w:rFonts w:ascii="黑体" w:eastAsia="黑体"/>
          <w:b/>
          <w:bCs/>
          <w:sz w:val="48"/>
          <w:szCs w:val="48"/>
        </w:rPr>
      </w:pPr>
    </w:p>
    <w:p>
      <w:pPr>
        <w:rPr>
          <w:rFonts w:hint="eastAsia" w:ascii="黑体" w:eastAsia="黑体"/>
          <w:b/>
          <w:bCs/>
          <w:sz w:val="48"/>
          <w:szCs w:val="48"/>
        </w:rPr>
      </w:pPr>
    </w:p>
    <w:p>
      <w:pPr>
        <w:rPr>
          <w:rFonts w:hint="eastAsia" w:ascii="黑体" w:eastAsia="黑体"/>
          <w:b/>
          <w:bCs/>
          <w:sz w:val="48"/>
          <w:szCs w:val="48"/>
        </w:rPr>
      </w:pPr>
    </w:p>
    <w:p>
      <w:pPr>
        <w:rPr>
          <w:rFonts w:hint="eastAsia" w:eastAsia="黑体"/>
          <w:b/>
          <w:bCs/>
          <w:szCs w:val="21"/>
        </w:rPr>
      </w:pPr>
    </w:p>
    <w:p>
      <w:pPr>
        <w:jc w:val="center"/>
        <w:rPr>
          <w:rFonts w:eastAsia="黑体"/>
          <w:b/>
          <w:bCs/>
          <w:szCs w:val="21"/>
        </w:rPr>
      </w:pPr>
    </w:p>
    <w:p>
      <w:pPr>
        <w:jc w:val="center"/>
        <w:rPr>
          <w:rFonts w:ascii="黑体" w:eastAsia="黑体"/>
          <w:sz w:val="44"/>
          <w:szCs w:val="44"/>
        </w:rPr>
      </w:pPr>
      <w:r>
        <w:rPr>
          <w:rFonts w:hint="eastAsia" w:eastAsia="黑体"/>
          <w:b/>
          <w:bCs/>
          <w:sz w:val="44"/>
          <w:szCs w:val="44"/>
        </w:rPr>
        <w:t>题</w:t>
      </w:r>
      <w:r>
        <w:rPr>
          <w:rFonts w:eastAsia="黑体"/>
          <w:b/>
          <w:bCs/>
          <w:sz w:val="44"/>
          <w:szCs w:val="44"/>
        </w:rPr>
        <w:t xml:space="preserve"> </w:t>
      </w:r>
      <w:r>
        <w:rPr>
          <w:rFonts w:hint="eastAsia" w:eastAsia="黑体"/>
          <w:b/>
          <w:bCs/>
          <w:sz w:val="44"/>
          <w:szCs w:val="44"/>
        </w:rPr>
        <w:t>目</w:t>
      </w:r>
      <w:r>
        <w:rPr>
          <w:rFonts w:eastAsia="黑体"/>
          <w:b/>
          <w:bCs/>
          <w:sz w:val="44"/>
          <w:szCs w:val="44"/>
        </w:rPr>
        <w:t xml:space="preserve">  </w:t>
      </w:r>
      <w:r>
        <w:rPr>
          <w:rFonts w:hint="eastAsia" w:eastAsia="黑体"/>
          <w:b/>
          <w:bCs/>
          <w:sz w:val="44"/>
          <w:szCs w:val="44"/>
        </w:rPr>
        <w:t>生药学大作业</w:t>
      </w:r>
    </w:p>
    <w:p>
      <w:pPr>
        <w:spacing w:line="360" w:lineRule="auto"/>
        <w:rPr>
          <w:rFonts w:hint="eastAsia" w:ascii="宋体" w:hAnsi="宋体"/>
          <w:sz w:val="32"/>
          <w:u w:val="single"/>
        </w:rPr>
      </w:pPr>
    </w:p>
    <w:p>
      <w:pPr>
        <w:spacing w:line="360" w:lineRule="auto"/>
        <w:rPr>
          <w:rFonts w:hint="eastAsia" w:ascii="宋体" w:hAnsi="宋体"/>
          <w:sz w:val="32"/>
          <w:u w:val="single"/>
        </w:rPr>
      </w:pPr>
    </w:p>
    <w:p>
      <w:pPr>
        <w:spacing w:line="360" w:lineRule="auto"/>
        <w:rPr>
          <w:rFonts w:hint="eastAsia" w:ascii="宋体" w:hAnsi="宋体"/>
          <w:sz w:val="32"/>
          <w:u w:val="single"/>
        </w:rPr>
      </w:pPr>
    </w:p>
    <w:p>
      <w:pPr>
        <w:spacing w:line="360" w:lineRule="auto"/>
        <w:rPr>
          <w:rFonts w:hint="eastAsia" w:ascii="宋体" w:hAnsi="宋体"/>
          <w:sz w:val="32"/>
          <w:u w:val="single"/>
        </w:rPr>
      </w:pPr>
    </w:p>
    <w:p>
      <w:pPr>
        <w:spacing w:line="360" w:lineRule="auto"/>
        <w:ind w:firstLine="1980"/>
        <w:rPr>
          <w:rFonts w:hint="eastAsia" w:ascii="黑体" w:eastAsia="黑体"/>
          <w:sz w:val="32"/>
        </w:rPr>
      </w:pPr>
    </w:p>
    <w:p>
      <w:pPr>
        <w:spacing w:line="288" w:lineRule="auto"/>
        <w:rPr>
          <w:rFonts w:hint="eastAsia" w:ascii="宋体" w:hAnsi="宋体" w:cs="宋体"/>
          <w:sz w:val="32"/>
          <w:u w:val="single"/>
        </w:rPr>
      </w:pPr>
      <w:r>
        <w:rPr>
          <w:rFonts w:hint="eastAsia" w:ascii="宋体" w:hAnsi="宋体"/>
          <w:b/>
          <w:sz w:val="30"/>
        </w:rPr>
        <w:t xml:space="preserve">           </w:t>
      </w:r>
      <w:r>
        <w:rPr>
          <w:rFonts w:hint="eastAsia" w:ascii="宋体" w:hAnsi="宋体" w:cs="宋体"/>
          <w:b/>
          <w:sz w:val="30"/>
        </w:rPr>
        <w:t xml:space="preserve">  </w:t>
      </w:r>
      <w:r>
        <w:rPr>
          <w:rFonts w:hint="eastAsia" w:ascii="宋体" w:hAnsi="宋体" w:cs="宋体"/>
          <w:color w:val="000000"/>
          <w:sz w:val="32"/>
        </w:rPr>
        <w:t>作    者：</w:t>
      </w:r>
      <w:r>
        <w:rPr>
          <w:rFonts w:hint="eastAsia" w:ascii="宋体" w:hAnsi="宋体" w:cs="宋体"/>
          <w:sz w:val="32"/>
        </w:rPr>
        <w:t xml:space="preserve"> </w:t>
      </w:r>
      <w:r>
        <w:rPr>
          <w:rFonts w:hint="eastAsia" w:ascii="宋体" w:hAnsi="宋体" w:cs="宋体"/>
          <w:sz w:val="32"/>
          <w:u w:val="single"/>
        </w:rPr>
        <w:t xml:space="preserve">                   </w:t>
      </w:r>
    </w:p>
    <w:p>
      <w:pPr>
        <w:spacing w:line="288" w:lineRule="auto"/>
        <w:rPr>
          <w:rFonts w:hint="eastAsia" w:ascii="宋体" w:hAnsi="宋体" w:cs="宋体"/>
          <w:sz w:val="32"/>
        </w:rPr>
      </w:pPr>
      <w:r>
        <w:rPr>
          <w:rFonts w:hint="eastAsia" w:ascii="宋体" w:hAnsi="宋体" w:cs="宋体"/>
          <w:sz w:val="32"/>
        </w:rPr>
        <w:t xml:space="preserve">            院    校： </w:t>
      </w:r>
      <w:r>
        <w:rPr>
          <w:rFonts w:hint="eastAsia" w:ascii="宋体" w:hAnsi="宋体" w:cs="宋体"/>
          <w:sz w:val="32"/>
          <w:u w:val="single"/>
        </w:rPr>
        <w:t xml:space="preserve">       </w:t>
      </w:r>
      <w:r>
        <w:rPr>
          <w:rFonts w:hint="eastAsia" w:ascii="宋体" w:hAnsi="宋体" w:cs="宋体"/>
          <w:sz w:val="30"/>
          <w:szCs w:val="30"/>
          <w:u w:val="single"/>
        </w:rPr>
        <w:t xml:space="preserve">             </w:t>
      </w:r>
    </w:p>
    <w:p>
      <w:pPr>
        <w:spacing w:line="288" w:lineRule="auto"/>
        <w:rPr>
          <w:rFonts w:hint="eastAsia" w:ascii="宋体" w:hAnsi="宋体" w:cs="宋体"/>
          <w:sz w:val="32"/>
        </w:rPr>
      </w:pPr>
      <w:r>
        <w:rPr>
          <w:rFonts w:hint="eastAsia" w:ascii="宋体" w:hAnsi="宋体" w:cs="宋体"/>
          <w:sz w:val="32"/>
        </w:rPr>
        <w:t xml:space="preserve">            专    业： </w:t>
      </w:r>
      <w:r>
        <w:rPr>
          <w:rFonts w:hint="eastAsia" w:ascii="宋体" w:hAnsi="宋体" w:cs="宋体"/>
          <w:sz w:val="32"/>
          <w:u w:val="single"/>
        </w:rPr>
        <w:t xml:space="preserve">                   </w:t>
      </w:r>
    </w:p>
    <w:p>
      <w:pPr>
        <w:spacing w:line="288" w:lineRule="auto"/>
        <w:rPr>
          <w:rFonts w:hint="eastAsia" w:ascii="宋体" w:hAnsi="宋体" w:cs="宋体"/>
          <w:sz w:val="32"/>
        </w:rPr>
      </w:pPr>
      <w:r>
        <w:rPr>
          <w:rFonts w:hint="eastAsia" w:ascii="宋体" w:hAnsi="宋体" w:cs="宋体"/>
          <w:sz w:val="32"/>
        </w:rPr>
        <w:t xml:space="preserve">            年    级： </w:t>
      </w:r>
      <w:r>
        <w:rPr>
          <w:rFonts w:hint="eastAsia" w:ascii="宋体" w:hAnsi="宋体" w:cs="宋体"/>
          <w:sz w:val="32"/>
          <w:u w:val="single"/>
        </w:rPr>
        <w:t xml:space="preserve">       </w:t>
      </w:r>
      <w:r>
        <w:rPr>
          <w:rFonts w:hint="eastAsia" w:ascii="宋体" w:hAnsi="宋体" w:cs="宋体"/>
          <w:sz w:val="30"/>
          <w:szCs w:val="30"/>
          <w:u w:val="single"/>
        </w:rPr>
        <w:t xml:space="preserve">             </w:t>
      </w:r>
      <w:r>
        <w:rPr>
          <w:rFonts w:hint="eastAsia" w:ascii="宋体" w:hAnsi="宋体" w:cs="宋体"/>
          <w:color w:val="FFFFFF"/>
          <w:sz w:val="30"/>
          <w:szCs w:val="30"/>
          <w:u w:val="single"/>
        </w:rPr>
        <w:t xml:space="preserve"> </w:t>
      </w:r>
    </w:p>
    <w:p>
      <w:pPr>
        <w:spacing w:line="288" w:lineRule="auto"/>
        <w:rPr>
          <w:rFonts w:hint="eastAsia" w:ascii="宋体" w:hAnsi="宋体" w:cs="宋体"/>
          <w:sz w:val="32"/>
        </w:rPr>
      </w:pPr>
      <w:r>
        <w:rPr>
          <w:rFonts w:hint="eastAsia" w:ascii="宋体" w:hAnsi="宋体" w:cs="宋体"/>
          <w:sz w:val="32"/>
        </w:rPr>
        <w:t xml:space="preserve">            学    号： </w:t>
      </w:r>
      <w:r>
        <w:rPr>
          <w:rFonts w:hint="eastAsia" w:ascii="宋体" w:hAnsi="宋体" w:cs="宋体"/>
          <w:sz w:val="32"/>
          <w:u w:val="single"/>
        </w:rPr>
        <w:t xml:space="preserve">                   </w:t>
      </w:r>
      <w:r>
        <w:rPr>
          <w:rFonts w:hint="eastAsia" w:ascii="宋体" w:hAnsi="宋体" w:cs="宋体"/>
          <w:color w:val="FFFFFF"/>
          <w:sz w:val="32"/>
          <w:u w:val="single"/>
        </w:rPr>
        <w:t>7</w:t>
      </w:r>
    </w:p>
    <w:p>
      <w:pPr>
        <w:rPr>
          <w:rFonts w:hint="eastAsia" w:ascii="宋体" w:hAnsi="宋体"/>
          <w:b/>
          <w:sz w:val="30"/>
          <w:u w:val="single"/>
        </w:rPr>
      </w:pPr>
      <w:r>
        <w:rPr>
          <w:rFonts w:hint="eastAsia" w:ascii="宋体" w:hAnsi="宋体" w:cs="宋体"/>
          <w:sz w:val="32"/>
        </w:rPr>
        <w:t xml:space="preserve">            成    绩： </w:t>
      </w:r>
      <w:r>
        <w:rPr>
          <w:rFonts w:hint="eastAsia" w:ascii="宋体" w:hAnsi="宋体" w:cs="宋体"/>
          <w:sz w:val="32"/>
          <w:u w:val="single"/>
        </w:rPr>
        <w:t xml:space="preserve">                   </w:t>
      </w:r>
      <w:r>
        <w:rPr>
          <w:rFonts w:hint="eastAsia" w:ascii="宋体" w:hAnsi="宋体" w:cs="宋体"/>
          <w:color w:val="FFFFFF"/>
          <w:sz w:val="32"/>
          <w:u w:val="single"/>
        </w:rPr>
        <w:t xml:space="preserve"> </w:t>
      </w:r>
    </w:p>
    <w:p>
      <w:pPr>
        <w:rPr>
          <w:rFonts w:hint="eastAsia"/>
        </w:rPr>
      </w:pPr>
    </w:p>
    <w:p>
      <w:pPr>
        <w:tabs>
          <w:tab w:val="left" w:pos="315"/>
        </w:tabs>
        <w:spacing w:line="480" w:lineRule="exact"/>
        <w:ind w:right="-118" w:firstLine="413"/>
        <w:rPr>
          <w:rFonts w:hint="eastAsia" w:ascii="宋体" w:hAnsi="宋体"/>
          <w:sz w:val="24"/>
        </w:rPr>
      </w:pPr>
    </w:p>
    <w:p>
      <w:pPr>
        <w:tabs>
          <w:tab w:val="left" w:pos="315"/>
        </w:tabs>
        <w:spacing w:line="480" w:lineRule="exact"/>
        <w:ind w:right="-118" w:firstLine="413"/>
        <w:rPr>
          <w:rFonts w:hint="eastAsia" w:ascii="宋体" w:hAnsi="宋体"/>
          <w:sz w:val="24"/>
        </w:rPr>
      </w:pPr>
    </w:p>
    <w:p>
      <w:pPr>
        <w:pStyle w:val="8"/>
        <w:numPr>
          <w:ilvl w:val="0"/>
          <w:numId w:val="1"/>
        </w:numPr>
        <w:tabs>
          <w:tab w:val="left" w:pos="315"/>
        </w:tabs>
        <w:spacing w:line="480" w:lineRule="exact"/>
        <w:ind w:right="-118" w:firstLineChars="0"/>
        <w:rPr>
          <w:rFonts w:hint="eastAsia" w:ascii="宋体" w:hAnsi="宋体"/>
          <w:sz w:val="24"/>
        </w:rPr>
      </w:pPr>
      <w:r>
        <w:rPr>
          <w:rFonts w:hint="eastAsia" w:ascii="宋体" w:hAnsi="宋体"/>
          <w:sz w:val="24"/>
        </w:rPr>
        <w:t>名词解释（每题6分，合计30）</w:t>
      </w:r>
    </w:p>
    <w:p>
      <w:pPr>
        <w:pStyle w:val="8"/>
        <w:numPr>
          <w:ilvl w:val="0"/>
          <w:numId w:val="2"/>
        </w:numPr>
        <w:tabs>
          <w:tab w:val="left" w:pos="315"/>
        </w:tabs>
        <w:spacing w:line="480" w:lineRule="exact"/>
        <w:ind w:right="-118" w:firstLineChars="0"/>
        <w:rPr>
          <w:rFonts w:hint="eastAsia" w:ascii="宋体" w:hAnsi="宋体"/>
          <w:sz w:val="24"/>
        </w:rPr>
      </w:pPr>
      <w:r>
        <w:rPr>
          <w:rFonts w:hint="eastAsia" w:ascii="宋体" w:hAnsi="宋体"/>
          <w:sz w:val="24"/>
        </w:rPr>
        <w:t>生药学</w:t>
      </w:r>
    </w:p>
    <w:p>
      <w:pPr>
        <w:pStyle w:val="8"/>
        <w:numPr>
          <w:ilvl w:val="0"/>
          <w:numId w:val="2"/>
        </w:numPr>
        <w:tabs>
          <w:tab w:val="left" w:pos="315"/>
        </w:tabs>
        <w:spacing w:line="480" w:lineRule="exact"/>
        <w:ind w:right="-118" w:firstLineChars="0"/>
        <w:rPr>
          <w:rFonts w:hint="eastAsia" w:ascii="宋体" w:hAnsi="宋体"/>
          <w:sz w:val="24"/>
        </w:rPr>
      </w:pPr>
      <w:r>
        <w:rPr>
          <w:rFonts w:hint="eastAsia" w:ascii="宋体" w:hAnsi="宋体"/>
          <w:sz w:val="24"/>
        </w:rPr>
        <w:t>草药</w:t>
      </w:r>
    </w:p>
    <w:p>
      <w:pPr>
        <w:pStyle w:val="8"/>
        <w:numPr>
          <w:ilvl w:val="0"/>
          <w:numId w:val="2"/>
        </w:numPr>
        <w:tabs>
          <w:tab w:val="left" w:pos="315"/>
        </w:tabs>
        <w:spacing w:line="480" w:lineRule="exact"/>
        <w:ind w:right="-118" w:firstLineChars="0"/>
        <w:rPr>
          <w:rFonts w:hint="eastAsia" w:ascii="宋体" w:hAnsi="宋体"/>
          <w:sz w:val="24"/>
        </w:rPr>
      </w:pPr>
      <w:r>
        <w:rPr>
          <w:rFonts w:hint="eastAsia" w:ascii="宋体" w:hAnsi="宋体"/>
          <w:sz w:val="24"/>
        </w:rPr>
        <w:t>初生代谢产物</w:t>
      </w:r>
    </w:p>
    <w:p>
      <w:pPr>
        <w:pStyle w:val="8"/>
        <w:numPr>
          <w:ilvl w:val="0"/>
          <w:numId w:val="2"/>
        </w:numPr>
        <w:tabs>
          <w:tab w:val="left" w:pos="315"/>
        </w:tabs>
        <w:spacing w:line="480" w:lineRule="exact"/>
        <w:ind w:right="-118" w:firstLineChars="0"/>
        <w:rPr>
          <w:rFonts w:hint="eastAsia" w:ascii="宋体" w:hAnsi="宋体"/>
          <w:sz w:val="24"/>
        </w:rPr>
      </w:pPr>
      <w:r>
        <w:rPr>
          <w:rFonts w:hint="eastAsia" w:ascii="宋体" w:hAnsi="宋体"/>
          <w:sz w:val="24"/>
        </w:rPr>
        <w:t>生物合成</w:t>
      </w:r>
    </w:p>
    <w:p>
      <w:pPr>
        <w:pStyle w:val="8"/>
        <w:numPr>
          <w:ilvl w:val="0"/>
          <w:numId w:val="2"/>
        </w:numPr>
        <w:tabs>
          <w:tab w:val="left" w:pos="315"/>
        </w:tabs>
        <w:spacing w:line="480" w:lineRule="exact"/>
        <w:ind w:right="-118" w:firstLineChars="0"/>
        <w:rPr>
          <w:rFonts w:hint="eastAsia" w:ascii="宋体" w:hAnsi="宋体"/>
          <w:sz w:val="24"/>
        </w:rPr>
      </w:pPr>
      <w:r>
        <w:rPr>
          <w:rFonts w:hint="eastAsia" w:ascii="宋体" w:hAnsi="宋体"/>
          <w:sz w:val="24"/>
        </w:rPr>
        <w:t>生药形状鉴定</w:t>
      </w:r>
    </w:p>
    <w:p>
      <w:pPr>
        <w:pStyle w:val="8"/>
        <w:numPr>
          <w:ilvl w:val="0"/>
          <w:numId w:val="1"/>
        </w:numPr>
        <w:tabs>
          <w:tab w:val="left" w:pos="315"/>
        </w:tabs>
        <w:spacing w:line="480" w:lineRule="exact"/>
        <w:ind w:right="-118" w:firstLineChars="0"/>
        <w:rPr>
          <w:rFonts w:hint="eastAsia" w:ascii="宋体" w:hAnsi="宋体"/>
          <w:sz w:val="24"/>
        </w:rPr>
      </w:pPr>
      <w:r>
        <w:rPr>
          <w:rFonts w:hint="eastAsia" w:ascii="宋体" w:hAnsi="宋体"/>
          <w:sz w:val="24"/>
        </w:rPr>
        <w:t>简</w:t>
      </w:r>
      <w:r>
        <w:rPr>
          <w:rFonts w:hint="eastAsia" w:ascii="宋体" w:hAnsi="宋体"/>
          <w:sz w:val="24"/>
          <w:lang w:eastAsia="zh-CN"/>
        </w:rPr>
        <w:t>答</w:t>
      </w:r>
      <w:bookmarkStart w:id="0" w:name="_GoBack"/>
      <w:bookmarkEnd w:id="0"/>
      <w:r>
        <w:rPr>
          <w:rFonts w:hint="eastAsia" w:ascii="宋体" w:hAnsi="宋体"/>
          <w:sz w:val="24"/>
        </w:rPr>
        <w:t>题（每题10分，合计30分）</w:t>
      </w:r>
    </w:p>
    <w:p>
      <w:pPr>
        <w:pStyle w:val="8"/>
        <w:numPr>
          <w:ilvl w:val="0"/>
          <w:numId w:val="3"/>
        </w:numPr>
        <w:tabs>
          <w:tab w:val="left" w:pos="315"/>
        </w:tabs>
        <w:spacing w:line="480" w:lineRule="exact"/>
        <w:ind w:right="-118" w:firstLineChars="0"/>
        <w:rPr>
          <w:rFonts w:hint="eastAsia" w:ascii="宋体" w:hAnsi="宋体"/>
          <w:sz w:val="24"/>
        </w:rPr>
      </w:pPr>
      <w:r>
        <w:rPr>
          <w:rFonts w:hint="eastAsia" w:ascii="宋体" w:hAnsi="宋体"/>
          <w:sz w:val="24"/>
        </w:rPr>
        <w:t>生药的分类方法</w:t>
      </w:r>
    </w:p>
    <w:p>
      <w:pPr>
        <w:pStyle w:val="8"/>
        <w:numPr>
          <w:ilvl w:val="0"/>
          <w:numId w:val="3"/>
        </w:numPr>
        <w:tabs>
          <w:tab w:val="left" w:pos="315"/>
        </w:tabs>
        <w:spacing w:line="480" w:lineRule="exact"/>
        <w:ind w:right="-118" w:firstLineChars="0"/>
        <w:rPr>
          <w:rFonts w:hint="eastAsia" w:ascii="宋体" w:hAnsi="宋体"/>
          <w:sz w:val="24"/>
        </w:rPr>
      </w:pPr>
      <w:r>
        <w:rPr>
          <w:rFonts w:hint="eastAsia" w:ascii="宋体" w:hAnsi="宋体"/>
          <w:sz w:val="24"/>
        </w:rPr>
        <w:t>生药的一般采收原则</w:t>
      </w:r>
    </w:p>
    <w:p>
      <w:pPr>
        <w:pStyle w:val="8"/>
        <w:numPr>
          <w:ilvl w:val="0"/>
          <w:numId w:val="3"/>
        </w:numPr>
        <w:tabs>
          <w:tab w:val="left" w:pos="315"/>
        </w:tabs>
        <w:spacing w:line="480" w:lineRule="exact"/>
        <w:ind w:right="-118" w:firstLineChars="0"/>
        <w:rPr>
          <w:rFonts w:hint="eastAsia" w:ascii="宋体" w:hAnsi="宋体"/>
          <w:sz w:val="24"/>
        </w:rPr>
      </w:pPr>
      <w:r>
        <w:rPr>
          <w:rFonts w:hint="eastAsia" w:ascii="宋体" w:hAnsi="宋体"/>
          <w:sz w:val="24"/>
        </w:rPr>
        <w:t>生药质量控制依据</w:t>
      </w:r>
    </w:p>
    <w:p>
      <w:pPr>
        <w:pStyle w:val="8"/>
        <w:numPr>
          <w:ilvl w:val="0"/>
          <w:numId w:val="1"/>
        </w:numPr>
        <w:tabs>
          <w:tab w:val="left" w:pos="315"/>
        </w:tabs>
        <w:spacing w:line="480" w:lineRule="exact"/>
        <w:ind w:right="-118" w:firstLineChars="0"/>
        <w:rPr>
          <w:rFonts w:hint="eastAsia" w:ascii="宋体" w:hAnsi="宋体"/>
          <w:sz w:val="24"/>
        </w:rPr>
      </w:pPr>
      <w:r>
        <w:rPr>
          <w:rFonts w:hint="eastAsia" w:ascii="宋体" w:hAnsi="宋体"/>
          <w:sz w:val="24"/>
        </w:rPr>
        <w:t>论述题（每题20分，合计20分）</w:t>
      </w:r>
    </w:p>
    <w:p>
      <w:pPr>
        <w:pStyle w:val="8"/>
        <w:tabs>
          <w:tab w:val="left" w:pos="315"/>
        </w:tabs>
        <w:spacing w:line="480" w:lineRule="exact"/>
        <w:ind w:left="893" w:right="-118" w:firstLine="0" w:firstLineChars="0"/>
        <w:rPr>
          <w:rFonts w:hint="eastAsia" w:ascii="宋体" w:hAnsi="宋体"/>
          <w:sz w:val="24"/>
        </w:rPr>
      </w:pPr>
      <w:r>
        <w:rPr>
          <w:rFonts w:hint="eastAsia" w:ascii="宋体" w:hAnsi="宋体"/>
          <w:sz w:val="24"/>
        </w:rPr>
        <w:t>试论述“十八反”，病说出相关生药具体名称。</w:t>
      </w:r>
    </w:p>
    <w:p>
      <w:pPr>
        <w:pStyle w:val="8"/>
        <w:tabs>
          <w:tab w:val="left" w:pos="315"/>
        </w:tabs>
        <w:spacing w:line="480" w:lineRule="exact"/>
        <w:ind w:left="893" w:right="-118" w:firstLine="0" w:firstLineChars="0"/>
        <w:rPr>
          <w:rFonts w:hint="eastAsia" w:ascii="宋体" w:hAnsi="宋体"/>
          <w:sz w:val="24"/>
        </w:rPr>
      </w:pPr>
    </w:p>
    <w:p>
      <w:pPr>
        <w:pStyle w:val="8"/>
        <w:tabs>
          <w:tab w:val="left" w:pos="315"/>
        </w:tabs>
        <w:spacing w:line="480" w:lineRule="exact"/>
        <w:ind w:left="893" w:right="-118" w:firstLine="0" w:firstLineChars="0"/>
        <w:rPr>
          <w:rFonts w:hint="eastAsia" w:ascii="宋体" w:hAnsi="宋体"/>
          <w:sz w:val="24"/>
        </w:rPr>
      </w:pPr>
      <w:r>
        <w:rPr>
          <w:rFonts w:hint="eastAsia" w:ascii="宋体" w:hAnsi="宋体"/>
          <w:sz w:val="24"/>
        </w:rPr>
        <w:t>答案：一、1、指以生药为主要研究对象，对生药的名称、来源（基源）、生产（栽培）、采制（采集、加工、炮制）、鉴定（真伪鉴别和品质评价）、化学成分、医疗用途、组织培养、资源开发与利用和新药创制等的学问。</w:t>
      </w:r>
    </w:p>
    <w:p>
      <w:pPr>
        <w:pStyle w:val="8"/>
        <w:tabs>
          <w:tab w:val="left" w:pos="315"/>
        </w:tabs>
        <w:spacing w:line="480" w:lineRule="exact"/>
        <w:ind w:left="893" w:right="-118" w:firstLine="0" w:firstLineChars="0"/>
        <w:rPr>
          <w:rFonts w:hint="eastAsia" w:ascii="宋体" w:hAnsi="宋体"/>
          <w:sz w:val="24"/>
        </w:rPr>
      </w:pPr>
      <w:r>
        <w:rPr>
          <w:rFonts w:hint="eastAsia" w:ascii="宋体" w:hAnsi="宋体"/>
          <w:sz w:val="24"/>
        </w:rPr>
        <w:t>2、利用植物提取物制作而成，主要使用其治疗价值。因为大多数植物含有化学物质元素，有着愈合等物理治疗。</w:t>
      </w:r>
    </w:p>
    <w:p>
      <w:pPr>
        <w:pStyle w:val="8"/>
        <w:tabs>
          <w:tab w:val="left" w:pos="315"/>
        </w:tabs>
        <w:spacing w:line="480" w:lineRule="exact"/>
        <w:ind w:left="893" w:right="-118" w:firstLine="0" w:firstLineChars="0"/>
        <w:rPr>
          <w:rFonts w:hint="eastAsia" w:ascii="宋体" w:hAnsi="宋体"/>
          <w:sz w:val="24"/>
        </w:rPr>
      </w:pPr>
      <w:r>
        <w:rPr>
          <w:rFonts w:hint="eastAsia" w:ascii="宋体" w:hAnsi="宋体"/>
          <w:sz w:val="24"/>
        </w:rPr>
        <w:t>3、微生物合成必要的生命物质</w:t>
      </w:r>
      <w:r>
        <w:rPr>
          <w:rFonts w:ascii="宋体" w:hAnsi="宋体"/>
          <w:sz w:val="24"/>
        </w:rPr>
        <w:t> ( 原生质 )的过程为初生代谢，所生成的物质 ( 蛋白质、 核糖核酸、去氧核糖核酸、脂类、糖类、氨基酸等 ) ，称为初生代谢产物。</w:t>
      </w:r>
    </w:p>
    <w:p>
      <w:pPr>
        <w:pStyle w:val="8"/>
        <w:tabs>
          <w:tab w:val="left" w:pos="315"/>
        </w:tabs>
        <w:spacing w:line="480" w:lineRule="exact"/>
        <w:ind w:left="893" w:right="-118" w:firstLine="0" w:firstLineChars="0"/>
        <w:rPr>
          <w:rFonts w:hint="eastAsia" w:ascii="宋体" w:hAnsi="宋体"/>
          <w:sz w:val="24"/>
        </w:rPr>
      </w:pPr>
      <w:r>
        <w:rPr>
          <w:rFonts w:hint="eastAsia" w:ascii="宋体" w:hAnsi="宋体"/>
          <w:sz w:val="24"/>
        </w:rPr>
        <w:t>4、是指以生物体内的生物酶系为催化剂，催化化合物前体物质按照一定的合成顺序，最终合成次生代谢产物的过程。</w:t>
      </w:r>
    </w:p>
    <w:p>
      <w:pPr>
        <w:pStyle w:val="8"/>
        <w:tabs>
          <w:tab w:val="left" w:pos="315"/>
        </w:tabs>
        <w:spacing w:line="480" w:lineRule="exact"/>
        <w:ind w:left="893" w:right="-118" w:firstLine="0" w:firstLineChars="0"/>
        <w:rPr>
          <w:rFonts w:hint="eastAsia" w:ascii="宋体" w:hAnsi="宋体"/>
          <w:sz w:val="24"/>
        </w:rPr>
      </w:pPr>
      <w:r>
        <w:rPr>
          <w:rFonts w:hint="eastAsia" w:ascii="宋体" w:hAnsi="宋体"/>
          <w:sz w:val="24"/>
        </w:rPr>
        <w:t>5、是指依据国家药典、</w:t>
      </w:r>
      <w:r>
        <w:rPr>
          <w:rFonts w:ascii="宋体" w:hAnsi="宋体"/>
          <w:sz w:val="24"/>
        </w:rPr>
        <w:t> 有关资料规定或有关专著对生药作真实性、 纯度及品质优良度 的检定。</w:t>
      </w:r>
    </w:p>
    <w:p>
      <w:pPr>
        <w:pStyle w:val="8"/>
        <w:tabs>
          <w:tab w:val="left" w:pos="315"/>
        </w:tabs>
        <w:spacing w:line="480" w:lineRule="exact"/>
        <w:ind w:left="893" w:right="-118" w:firstLine="480"/>
        <w:rPr>
          <w:rFonts w:ascii="宋体" w:hAnsi="宋体"/>
          <w:sz w:val="24"/>
        </w:rPr>
      </w:pPr>
      <w:r>
        <w:rPr>
          <w:rFonts w:hint="eastAsia" w:ascii="宋体" w:hAnsi="宋体"/>
          <w:sz w:val="24"/>
        </w:rPr>
        <w:t>二1、按药用部位分类法</w:t>
      </w:r>
    </w:p>
    <w:p>
      <w:pPr>
        <w:pStyle w:val="8"/>
        <w:tabs>
          <w:tab w:val="left" w:pos="315"/>
        </w:tabs>
        <w:spacing w:line="480" w:lineRule="exact"/>
        <w:ind w:left="893" w:right="-118" w:firstLine="480"/>
        <w:rPr>
          <w:rFonts w:ascii="宋体" w:hAnsi="宋体"/>
          <w:sz w:val="24"/>
        </w:rPr>
      </w:pPr>
      <w:r>
        <w:rPr>
          <w:rFonts w:hint="eastAsia" w:ascii="宋体" w:hAnsi="宋体"/>
          <w:sz w:val="24"/>
        </w:rPr>
        <w:t>　　首先将生药分为植物药、动物药和矿物药，植物药再依不同的药用部位分为根类、根茎类、皮类、茎木类、叶类、花类、果实类、种子类和全草类等。这种分类法便于学习和研究生药的外形和内部构造，掌握各类生药的外形和显微特征及其鉴定方法，也便于比较同类不同生药间在外形和显微特征上的异同，也有利于学习和提高传统的药材性状鉴别经验。本教材采用此分类法。</w:t>
      </w:r>
    </w:p>
    <w:p>
      <w:pPr>
        <w:pStyle w:val="8"/>
        <w:tabs>
          <w:tab w:val="left" w:pos="315"/>
        </w:tabs>
        <w:spacing w:line="480" w:lineRule="exact"/>
        <w:ind w:left="893" w:right="-118" w:firstLine="480"/>
        <w:rPr>
          <w:rFonts w:ascii="宋体" w:hAnsi="宋体"/>
          <w:sz w:val="24"/>
        </w:rPr>
      </w:pPr>
      <w:r>
        <w:rPr>
          <w:rFonts w:hint="eastAsia" w:ascii="宋体" w:hAnsi="宋体"/>
          <w:sz w:val="24"/>
        </w:rPr>
        <w:t>　　按化学成分分类法</w:t>
      </w:r>
    </w:p>
    <w:p>
      <w:pPr>
        <w:pStyle w:val="8"/>
        <w:tabs>
          <w:tab w:val="left" w:pos="315"/>
        </w:tabs>
        <w:spacing w:line="480" w:lineRule="exact"/>
        <w:ind w:left="893" w:right="-118" w:firstLine="480"/>
        <w:rPr>
          <w:rFonts w:ascii="宋体" w:hAnsi="宋体"/>
          <w:sz w:val="24"/>
        </w:rPr>
      </w:pPr>
      <w:r>
        <w:rPr>
          <w:rFonts w:hint="eastAsia" w:ascii="宋体" w:hAnsi="宋体"/>
          <w:sz w:val="24"/>
        </w:rPr>
        <w:t>　　根据生药中所含的有效成分或主成分的类别来分类，如含苷类生药，含生物碱类生药，含挥发油生药等。这种分类方法便于学习和研究生药的有效成分和理化分析，也有利于研究有效成分与疗效的关系，以及含同类成分的生药与科属之间的关系。</w:t>
      </w:r>
    </w:p>
    <w:p>
      <w:pPr>
        <w:pStyle w:val="8"/>
        <w:tabs>
          <w:tab w:val="left" w:pos="315"/>
        </w:tabs>
        <w:spacing w:line="480" w:lineRule="exact"/>
        <w:ind w:left="893" w:right="-118" w:firstLine="480"/>
        <w:rPr>
          <w:rFonts w:ascii="宋体" w:hAnsi="宋体"/>
          <w:sz w:val="24"/>
        </w:rPr>
      </w:pPr>
      <w:r>
        <w:rPr>
          <w:rFonts w:hint="eastAsia" w:ascii="宋体" w:hAnsi="宋体"/>
          <w:sz w:val="24"/>
        </w:rPr>
        <w:t>　　按自然系统分类法</w:t>
      </w:r>
    </w:p>
    <w:p>
      <w:pPr>
        <w:pStyle w:val="8"/>
        <w:tabs>
          <w:tab w:val="left" w:pos="315"/>
        </w:tabs>
        <w:spacing w:line="480" w:lineRule="exact"/>
        <w:ind w:left="893" w:right="-118" w:firstLine="480"/>
        <w:rPr>
          <w:rFonts w:ascii="宋体" w:hAnsi="宋体"/>
          <w:sz w:val="24"/>
        </w:rPr>
      </w:pPr>
      <w:r>
        <w:rPr>
          <w:rFonts w:hint="eastAsia" w:ascii="宋体" w:hAnsi="宋体"/>
          <w:sz w:val="24"/>
        </w:rPr>
        <w:t>　　根据生药的原植（动）物的在分类学上的位置和亲缘关系，按门、纲、目、科、属和种分类排列。这种分类法便于学习和研究同科同属生药在形态、性状、组织构造、化学成分与功效等方面的共同点，并比较其特异性，以揭示其规律性，有利于寻找具有类似成分、功效的植（动）物，扩大生药资源。</w:t>
      </w:r>
    </w:p>
    <w:p>
      <w:pPr>
        <w:pStyle w:val="8"/>
        <w:tabs>
          <w:tab w:val="left" w:pos="315"/>
        </w:tabs>
        <w:spacing w:line="480" w:lineRule="exact"/>
        <w:ind w:left="893" w:right="-118" w:firstLine="480"/>
        <w:rPr>
          <w:rFonts w:ascii="宋体" w:hAnsi="宋体"/>
          <w:sz w:val="24"/>
        </w:rPr>
      </w:pPr>
      <w:r>
        <w:rPr>
          <w:rFonts w:hint="eastAsia" w:ascii="宋体" w:hAnsi="宋体"/>
          <w:sz w:val="24"/>
        </w:rPr>
        <w:t>　　按药理作用或中医功效分类法</w:t>
      </w:r>
    </w:p>
    <w:p>
      <w:pPr>
        <w:pStyle w:val="8"/>
        <w:tabs>
          <w:tab w:val="left" w:pos="315"/>
        </w:tabs>
        <w:spacing w:line="480" w:lineRule="exact"/>
        <w:ind w:left="893" w:right="-118" w:firstLine="480"/>
        <w:rPr>
          <w:rFonts w:ascii="宋体" w:hAnsi="宋体"/>
          <w:sz w:val="24"/>
        </w:rPr>
      </w:pPr>
      <w:r>
        <w:rPr>
          <w:rFonts w:hint="eastAsia" w:ascii="宋体" w:hAnsi="宋体"/>
          <w:sz w:val="24"/>
        </w:rPr>
        <w:t>　　根据生药的药理作用或中医功效来分类，如按现代药理作用分为：作用于神经系统的生药、作用于循环系统的生药等，或按中医疗效分为解表药、清热药、补益药等等。这种分类法便于学习和研究生药的作用与效用，有利于与临床结合，也可以与所含活性成分相结合。</w:t>
      </w:r>
    </w:p>
    <w:p>
      <w:pPr>
        <w:pStyle w:val="8"/>
        <w:tabs>
          <w:tab w:val="left" w:pos="315"/>
        </w:tabs>
        <w:spacing w:line="480" w:lineRule="exact"/>
        <w:ind w:left="893" w:right="-118" w:firstLine="480"/>
        <w:rPr>
          <w:rFonts w:ascii="宋体" w:hAnsi="宋体"/>
          <w:sz w:val="24"/>
        </w:rPr>
      </w:pPr>
      <w:r>
        <w:rPr>
          <w:rFonts w:hint="eastAsia" w:ascii="宋体" w:hAnsi="宋体"/>
          <w:sz w:val="24"/>
        </w:rPr>
        <w:t>　　其它分类法</w:t>
      </w:r>
    </w:p>
    <w:p>
      <w:pPr>
        <w:pStyle w:val="8"/>
        <w:tabs>
          <w:tab w:val="left" w:pos="315"/>
        </w:tabs>
        <w:spacing w:line="480" w:lineRule="exact"/>
        <w:ind w:left="893" w:right="-118" w:firstLine="480"/>
        <w:rPr>
          <w:rFonts w:ascii="宋体" w:hAnsi="宋体"/>
          <w:sz w:val="24"/>
        </w:rPr>
      </w:pPr>
      <w:r>
        <w:rPr>
          <w:rFonts w:hint="eastAsia" w:ascii="宋体" w:hAnsi="宋体"/>
          <w:sz w:val="24"/>
        </w:rPr>
        <w:t>　　在历史上，我国现存最早的本草著作《神农本草经》，就是按药物毒性和用药目的的不同分为上、中、下三品；《本草经集注》按药物自然属性分为玉石、草、木、果菜、米食、有名未用等</w:t>
      </w:r>
      <w:r>
        <w:rPr>
          <w:rFonts w:ascii="宋体" w:hAnsi="宋体"/>
          <w:sz w:val="24"/>
        </w:rPr>
        <w:t>6类，每类又各分为上、中、下三品；《本草纲目》将药物分为水、火、土、石草、谷、菜、果、木、器、虫、鳞、介、禽、兽、人等16部，又把各部的药物按其生态及性质分为60类，如把草部分为山草、芳草、湿草、毒草、蔓草、水草、石草、苔、杂草等、并把亲缘关系相近的植物排列在一起。</w:t>
      </w:r>
    </w:p>
    <w:p>
      <w:pPr>
        <w:pStyle w:val="8"/>
        <w:tabs>
          <w:tab w:val="left" w:pos="315"/>
        </w:tabs>
        <w:spacing w:line="480" w:lineRule="exact"/>
        <w:ind w:left="893" w:right="-118" w:firstLine="480"/>
        <w:rPr>
          <w:rFonts w:ascii="宋体" w:hAnsi="宋体"/>
          <w:sz w:val="24"/>
        </w:rPr>
      </w:pPr>
      <w:r>
        <w:rPr>
          <w:rFonts w:hint="eastAsia" w:ascii="宋体" w:hAnsi="宋体"/>
          <w:sz w:val="24"/>
        </w:rPr>
        <w:t>　　在现代，《中国药典》、《中药大辞典》、《中药志》等专著均按中文名的笔划顺序，以字典形式编排。这是一种最简单的编排法，便于查阅。但各生药间缺少相互联系，教材中不采用此法。</w:t>
      </w:r>
    </w:p>
    <w:p>
      <w:pPr>
        <w:pStyle w:val="8"/>
        <w:tabs>
          <w:tab w:val="left" w:pos="315"/>
        </w:tabs>
        <w:spacing w:line="480" w:lineRule="exact"/>
        <w:ind w:left="893" w:right="-118" w:firstLine="480" w:firstLineChars="0"/>
        <w:rPr>
          <w:rFonts w:hint="eastAsia" w:ascii="宋体" w:hAnsi="宋体"/>
          <w:sz w:val="24"/>
        </w:rPr>
      </w:pPr>
      <w:r>
        <w:rPr>
          <w:rFonts w:hint="eastAsia" w:ascii="宋体" w:hAnsi="宋体"/>
          <w:sz w:val="24"/>
        </w:rPr>
        <w:t>以上各种分类方法各有优点，也各有不足之处，必须根据不同的目的和要求，选择一个比较适宜的分类方法。</w:t>
      </w:r>
    </w:p>
    <w:p>
      <w:pPr>
        <w:pStyle w:val="8"/>
        <w:tabs>
          <w:tab w:val="left" w:pos="315"/>
        </w:tabs>
        <w:spacing w:line="480" w:lineRule="exact"/>
        <w:ind w:left="893" w:right="-118" w:firstLine="480"/>
        <w:rPr>
          <w:rFonts w:ascii="宋体" w:hAnsi="宋体"/>
          <w:sz w:val="24"/>
        </w:rPr>
      </w:pPr>
      <w:r>
        <w:rPr>
          <w:rFonts w:hint="eastAsia" w:ascii="宋体" w:hAnsi="宋体"/>
          <w:sz w:val="24"/>
        </w:rPr>
        <w:t>2、动物药类</w:t>
      </w:r>
    </w:p>
    <w:p>
      <w:pPr>
        <w:pStyle w:val="8"/>
        <w:tabs>
          <w:tab w:val="left" w:pos="315"/>
        </w:tabs>
        <w:spacing w:line="480" w:lineRule="exact"/>
        <w:ind w:left="893" w:right="-118" w:firstLine="480"/>
        <w:rPr>
          <w:rFonts w:ascii="宋体" w:hAnsi="宋体"/>
          <w:sz w:val="24"/>
        </w:rPr>
      </w:pPr>
    </w:p>
    <w:p>
      <w:pPr>
        <w:pStyle w:val="8"/>
        <w:tabs>
          <w:tab w:val="left" w:pos="315"/>
        </w:tabs>
        <w:spacing w:line="480" w:lineRule="exact"/>
        <w:ind w:left="893" w:right="-118" w:firstLine="480"/>
        <w:rPr>
          <w:rFonts w:ascii="宋体" w:hAnsi="宋体"/>
          <w:sz w:val="24"/>
        </w:rPr>
      </w:pPr>
      <w:r>
        <w:rPr>
          <w:rFonts w:hint="eastAsia" w:ascii="宋体" w:hAnsi="宋体"/>
          <w:sz w:val="24"/>
        </w:rPr>
        <w:t>（</w:t>
      </w:r>
      <w:r>
        <w:rPr>
          <w:rFonts w:ascii="宋体" w:hAnsi="宋体"/>
          <w:sz w:val="24"/>
        </w:rPr>
        <w:t>1）昆虫类：入药部分含虫卵的，应在虫卵孵化前采收，如桑螵蛸需在深秋至三月中旬前虫卵未孵化时采收。以成虫入药的，应在活动期捕捉，如土鳖虫，有翅昆虫，宜在清晨露水未干时捕捉，因此时不易起飞，如斑蝥。</w:t>
      </w:r>
    </w:p>
    <w:p>
      <w:pPr>
        <w:pStyle w:val="8"/>
        <w:tabs>
          <w:tab w:val="left" w:pos="315"/>
        </w:tabs>
        <w:spacing w:line="480" w:lineRule="exact"/>
        <w:ind w:left="893" w:right="-118" w:firstLine="480"/>
        <w:rPr>
          <w:rFonts w:ascii="宋体" w:hAnsi="宋体"/>
          <w:sz w:val="24"/>
        </w:rPr>
      </w:pPr>
    </w:p>
    <w:p>
      <w:pPr>
        <w:pStyle w:val="8"/>
        <w:tabs>
          <w:tab w:val="left" w:pos="315"/>
        </w:tabs>
        <w:spacing w:line="480" w:lineRule="exact"/>
        <w:ind w:left="893" w:right="-118" w:firstLine="480"/>
        <w:rPr>
          <w:rFonts w:ascii="宋体" w:hAnsi="宋体"/>
          <w:sz w:val="24"/>
        </w:rPr>
      </w:pPr>
      <w:r>
        <w:rPr>
          <w:rFonts w:hint="eastAsia" w:ascii="宋体" w:hAnsi="宋体"/>
          <w:sz w:val="24"/>
        </w:rPr>
        <w:t>（</w:t>
      </w:r>
      <w:r>
        <w:rPr>
          <w:rFonts w:ascii="宋体" w:hAnsi="宋体"/>
          <w:sz w:val="24"/>
        </w:rPr>
        <w:t>2）两栖类，爬行类：多数在夏秋两季捕捉，如蟾蜍，各类蛇类；中国林蛙在霜降期捕捉。</w:t>
      </w:r>
    </w:p>
    <w:p>
      <w:pPr>
        <w:pStyle w:val="8"/>
        <w:tabs>
          <w:tab w:val="left" w:pos="315"/>
        </w:tabs>
        <w:spacing w:line="480" w:lineRule="exact"/>
        <w:ind w:left="893" w:right="-118" w:firstLine="480"/>
        <w:rPr>
          <w:rFonts w:ascii="宋体" w:hAnsi="宋体"/>
          <w:sz w:val="24"/>
        </w:rPr>
      </w:pPr>
    </w:p>
    <w:p>
      <w:pPr>
        <w:pStyle w:val="8"/>
        <w:tabs>
          <w:tab w:val="left" w:pos="315"/>
        </w:tabs>
        <w:spacing w:line="480" w:lineRule="exact"/>
        <w:ind w:left="893" w:right="-118" w:firstLine="480"/>
        <w:rPr>
          <w:rFonts w:ascii="宋体" w:hAnsi="宋体"/>
          <w:sz w:val="24"/>
        </w:rPr>
      </w:pPr>
      <w:r>
        <w:rPr>
          <w:rFonts w:hint="eastAsia" w:ascii="宋体" w:hAnsi="宋体"/>
          <w:sz w:val="24"/>
        </w:rPr>
        <w:t>植物药类</w:t>
      </w:r>
    </w:p>
    <w:p>
      <w:pPr>
        <w:pStyle w:val="8"/>
        <w:tabs>
          <w:tab w:val="left" w:pos="315"/>
        </w:tabs>
        <w:spacing w:line="480" w:lineRule="exact"/>
        <w:ind w:left="893" w:right="-118" w:firstLine="480"/>
        <w:rPr>
          <w:rFonts w:ascii="宋体" w:hAnsi="宋体"/>
          <w:sz w:val="24"/>
        </w:rPr>
      </w:pPr>
    </w:p>
    <w:p>
      <w:pPr>
        <w:pStyle w:val="8"/>
        <w:tabs>
          <w:tab w:val="left" w:pos="315"/>
        </w:tabs>
        <w:spacing w:line="480" w:lineRule="exact"/>
        <w:ind w:left="893" w:right="-118" w:firstLine="480"/>
        <w:rPr>
          <w:rFonts w:ascii="宋体" w:hAnsi="宋体"/>
          <w:sz w:val="24"/>
        </w:rPr>
      </w:pPr>
      <w:r>
        <w:rPr>
          <w:rFonts w:hint="eastAsia" w:ascii="宋体" w:hAnsi="宋体"/>
          <w:sz w:val="24"/>
        </w:rPr>
        <w:t>（</w:t>
      </w:r>
      <w:r>
        <w:rPr>
          <w:rFonts w:ascii="宋体" w:hAnsi="宋体"/>
          <w:sz w:val="24"/>
        </w:rPr>
        <w:t>1）根和根茎类：宜在植物生长停止，花叶萎谢的休眠期，或在春季发芽前采集。但也有例外情况，如柴胡、明党参在春天采较好，孩儿参则在夏季采集较好，延胡索立夏后地上部分枯萎，不易寻找，故多在谷雨和立夏之间采挖。</w:t>
      </w:r>
    </w:p>
    <w:p>
      <w:pPr>
        <w:pStyle w:val="8"/>
        <w:tabs>
          <w:tab w:val="left" w:pos="315"/>
        </w:tabs>
        <w:spacing w:line="480" w:lineRule="exact"/>
        <w:ind w:left="893" w:right="-118" w:firstLine="480"/>
        <w:rPr>
          <w:rFonts w:ascii="宋体" w:hAnsi="宋体"/>
          <w:sz w:val="24"/>
        </w:rPr>
      </w:pPr>
    </w:p>
    <w:p>
      <w:pPr>
        <w:pStyle w:val="8"/>
        <w:tabs>
          <w:tab w:val="left" w:pos="315"/>
        </w:tabs>
        <w:spacing w:line="480" w:lineRule="exact"/>
        <w:ind w:left="893" w:right="-118" w:firstLine="480"/>
        <w:rPr>
          <w:rFonts w:ascii="宋体" w:hAnsi="宋体"/>
          <w:sz w:val="24"/>
        </w:rPr>
      </w:pPr>
      <w:r>
        <w:rPr>
          <w:rFonts w:hint="eastAsia" w:ascii="宋体" w:hAnsi="宋体"/>
          <w:sz w:val="24"/>
        </w:rPr>
        <w:t>（</w:t>
      </w:r>
      <w:r>
        <w:rPr>
          <w:rFonts w:ascii="宋体" w:hAnsi="宋体"/>
          <w:sz w:val="24"/>
        </w:rPr>
        <w:t>2）叶类和全草：应在植物生长最旺盛时，或在花蕾将开放时，或在花盛开而果实种子尚未成熟时采收。但桑叶需经霜后采收，枇杷叶、银杏叶需落地后收集。</w:t>
      </w:r>
    </w:p>
    <w:p>
      <w:pPr>
        <w:pStyle w:val="8"/>
        <w:tabs>
          <w:tab w:val="left" w:pos="315"/>
        </w:tabs>
        <w:spacing w:line="480" w:lineRule="exact"/>
        <w:ind w:left="893" w:right="-118" w:firstLine="480"/>
        <w:rPr>
          <w:rFonts w:ascii="宋体" w:hAnsi="宋体"/>
          <w:sz w:val="24"/>
        </w:rPr>
      </w:pPr>
    </w:p>
    <w:p>
      <w:pPr>
        <w:pStyle w:val="8"/>
        <w:tabs>
          <w:tab w:val="left" w:pos="315"/>
        </w:tabs>
        <w:spacing w:line="480" w:lineRule="exact"/>
        <w:ind w:left="893" w:right="-118" w:firstLine="480"/>
        <w:rPr>
          <w:rFonts w:ascii="宋体" w:hAnsi="宋体"/>
          <w:sz w:val="24"/>
        </w:rPr>
      </w:pPr>
      <w:r>
        <w:rPr>
          <w:rFonts w:hint="eastAsia" w:ascii="宋体" w:hAnsi="宋体"/>
          <w:sz w:val="24"/>
        </w:rPr>
        <w:t>（</w:t>
      </w:r>
      <w:r>
        <w:rPr>
          <w:rFonts w:ascii="宋体" w:hAnsi="宋体"/>
          <w:sz w:val="24"/>
        </w:rPr>
        <w:t>3）树皮和根皮：树皮多在春夏之交采收，含量既高，也易于剥离。根皮多在秋季采收。因为树皮、根皮的采收，容易损害植物生长，应当注意采收方法。有些干皮的采收可结合林木采伐来进行。</w:t>
      </w:r>
    </w:p>
    <w:p>
      <w:pPr>
        <w:pStyle w:val="8"/>
        <w:tabs>
          <w:tab w:val="left" w:pos="315"/>
        </w:tabs>
        <w:spacing w:line="480" w:lineRule="exact"/>
        <w:ind w:left="893" w:right="-118" w:firstLine="480"/>
        <w:rPr>
          <w:rFonts w:ascii="宋体" w:hAnsi="宋体"/>
          <w:sz w:val="24"/>
        </w:rPr>
      </w:pPr>
    </w:p>
    <w:p>
      <w:pPr>
        <w:pStyle w:val="8"/>
        <w:tabs>
          <w:tab w:val="left" w:pos="315"/>
        </w:tabs>
        <w:spacing w:line="480" w:lineRule="exact"/>
        <w:ind w:left="893" w:right="-118" w:firstLine="480"/>
        <w:rPr>
          <w:rFonts w:ascii="宋体" w:hAnsi="宋体"/>
          <w:sz w:val="24"/>
        </w:rPr>
      </w:pPr>
      <w:r>
        <w:rPr>
          <w:rFonts w:hint="eastAsia" w:ascii="宋体" w:hAnsi="宋体"/>
          <w:sz w:val="24"/>
        </w:rPr>
        <w:t>（</w:t>
      </w:r>
      <w:r>
        <w:rPr>
          <w:rFonts w:ascii="宋体" w:hAnsi="宋体"/>
          <w:sz w:val="24"/>
        </w:rPr>
        <w:t>4）花类：一般在花开放时采收。有些则于花蕾期采收，如槐米、蛔篙、丁香等。此外如除虫菊，宜在花头半开放时采收，红花则在花冠由黄变橙红时采收为宜。</w:t>
      </w:r>
    </w:p>
    <w:p>
      <w:pPr>
        <w:pStyle w:val="8"/>
        <w:tabs>
          <w:tab w:val="left" w:pos="315"/>
        </w:tabs>
        <w:spacing w:line="480" w:lineRule="exact"/>
        <w:ind w:left="893" w:right="-118" w:firstLine="480"/>
        <w:rPr>
          <w:rFonts w:ascii="宋体" w:hAnsi="宋体"/>
          <w:sz w:val="24"/>
        </w:rPr>
      </w:pPr>
    </w:p>
    <w:p>
      <w:pPr>
        <w:pStyle w:val="8"/>
        <w:tabs>
          <w:tab w:val="left" w:pos="315"/>
        </w:tabs>
        <w:spacing w:line="480" w:lineRule="exact"/>
        <w:ind w:left="893" w:right="-118" w:firstLine="480"/>
        <w:rPr>
          <w:rFonts w:ascii="宋体" w:hAnsi="宋体"/>
          <w:sz w:val="24"/>
        </w:rPr>
      </w:pPr>
      <w:r>
        <w:rPr>
          <w:rFonts w:hint="eastAsia" w:ascii="宋体" w:hAnsi="宋体"/>
          <w:sz w:val="24"/>
        </w:rPr>
        <w:t>（</w:t>
      </w:r>
      <w:r>
        <w:rPr>
          <w:rFonts w:ascii="宋体" w:hAnsi="宋体"/>
          <w:sz w:val="24"/>
        </w:rPr>
        <w:t>5）果实、种子：应在已成熟或将成熟时采收，少数用未成熟的果实，如积实。种子多应在完全成熟后采收。</w:t>
      </w:r>
    </w:p>
    <w:p>
      <w:pPr>
        <w:pStyle w:val="8"/>
        <w:tabs>
          <w:tab w:val="left" w:pos="315"/>
        </w:tabs>
        <w:spacing w:line="480" w:lineRule="exact"/>
        <w:ind w:left="893" w:right="-118" w:firstLine="480"/>
        <w:rPr>
          <w:rFonts w:ascii="宋体" w:hAnsi="宋体"/>
          <w:sz w:val="24"/>
        </w:rPr>
      </w:pPr>
    </w:p>
    <w:p>
      <w:pPr>
        <w:pStyle w:val="8"/>
        <w:tabs>
          <w:tab w:val="left" w:pos="315"/>
        </w:tabs>
        <w:spacing w:line="480" w:lineRule="exact"/>
        <w:ind w:left="893" w:right="-118" w:firstLine="480" w:firstLineChars="0"/>
        <w:rPr>
          <w:rFonts w:hint="eastAsia" w:ascii="宋体" w:hAnsi="宋体"/>
          <w:sz w:val="24"/>
        </w:rPr>
      </w:pPr>
      <w:r>
        <w:rPr>
          <w:rFonts w:hint="eastAsia" w:ascii="宋体" w:hAnsi="宋体"/>
          <w:sz w:val="24"/>
        </w:rPr>
        <w:t>（</w:t>
      </w:r>
      <w:r>
        <w:rPr>
          <w:rFonts w:ascii="宋体" w:hAnsi="宋体"/>
          <w:sz w:val="24"/>
        </w:rPr>
        <w:t>6）菌、藻、孢粉类药材：各自情况不一，如麦角在寄主（黑麦等）收割前采收，生物碱含量较高，茯苓在立秋后采收质量较好，马勃应在子实体刚成熟期采收，过迟则孢子飞散。</w:t>
      </w:r>
    </w:p>
    <w:p>
      <w:pPr>
        <w:pStyle w:val="8"/>
        <w:tabs>
          <w:tab w:val="left" w:pos="315"/>
        </w:tabs>
        <w:spacing w:line="480" w:lineRule="exact"/>
        <w:ind w:left="893" w:right="-118" w:firstLine="480" w:firstLineChars="0"/>
        <w:rPr>
          <w:rFonts w:hint="eastAsia" w:ascii="宋体" w:hAnsi="宋体"/>
          <w:sz w:val="24"/>
        </w:rPr>
      </w:pPr>
      <w:r>
        <w:rPr>
          <w:rFonts w:hint="eastAsia" w:ascii="宋体" w:hAnsi="宋体"/>
          <w:sz w:val="24"/>
        </w:rPr>
        <w:t>3、目前我国生药质量控制主要依据三级标准，一级是国家药典标准，二级为局（部）颁标准，三级为地方标准。国家药典标准是国家对药品质量及检验方法所作的技术规定，是药品生产、供应、使用、检验、管理部门共同遵循的法定标准；局（部）颁标准是国家食品药品监督管理局颁发的药品标准；地方标准，具有地方的约束性。</w:t>
      </w:r>
    </w:p>
    <w:p>
      <w:pPr>
        <w:pStyle w:val="8"/>
        <w:tabs>
          <w:tab w:val="left" w:pos="315"/>
        </w:tabs>
        <w:spacing w:line="480" w:lineRule="exact"/>
        <w:ind w:left="893" w:right="-118" w:firstLine="480" w:firstLineChars="0"/>
        <w:rPr>
          <w:rFonts w:hint="eastAsia" w:ascii="宋体" w:hAnsi="宋体"/>
          <w:sz w:val="24"/>
        </w:rPr>
      </w:pPr>
      <w:r>
        <w:rPr>
          <w:rFonts w:hint="eastAsia" w:ascii="宋体" w:hAnsi="宋体"/>
          <w:sz w:val="24"/>
        </w:rPr>
        <w:t>三、十八反：甘草反大戟、芫花、甘遂、海藻；乌头（包括川乌、草乌、附子）反贝母（川贝母、浙贝母）、瓜篓、天花粉、半夏、白蔹、白及；黎芦反人参、西洋参、丹参、沙参（南沙参、北沙参）、苦参、玄参、细辛、芍药（白芍、赤芍）（反玄参系《本草纲目》增入，所以实有十九味药）。</w:t>
      </w:r>
    </w:p>
    <w:p>
      <w:pPr>
        <w:pStyle w:val="8"/>
        <w:tabs>
          <w:tab w:val="left" w:pos="315"/>
        </w:tabs>
        <w:spacing w:line="480" w:lineRule="exact"/>
        <w:ind w:left="893" w:right="-118" w:firstLine="480" w:firstLineChars="0"/>
        <w:rPr>
          <w:rFonts w:ascii="宋体" w:hAnsi="宋体"/>
          <w:sz w:val="24"/>
        </w:rPr>
      </w:pPr>
      <w:r>
        <w:rPr>
          <w:rFonts w:hint="eastAsia" w:ascii="宋体" w:hAnsi="宋体"/>
          <w:sz w:val="24"/>
        </w:rPr>
        <w:t>中药“十八反”为用药配伍的禁忌，是药物相配伍应用可能会危害患者的健康，甚至危及生命，所以，相反的药物原则上是禁止配伍应用。反药是否同用，历代医家众说纷纭。一些医家认为反药同用会增强毒性、损害机体，因而强调反药不可同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dobe 宋体 Std L">
    <w:altName w:val="宋体"/>
    <w:panose1 w:val="00000000000000000000"/>
    <w:charset w:val="7A"/>
    <w:family w:val="auto"/>
    <w:pitch w:val="default"/>
    <w:sig w:usb0="00000000" w:usb1="00000000" w:usb2="00000016" w:usb3="00000000" w:csb0="00060007"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475039"/>
    <w:multiLevelType w:val="multilevel"/>
    <w:tmpl w:val="1E475039"/>
    <w:lvl w:ilvl="0" w:tentative="0">
      <w:start w:val="1"/>
      <w:numFmt w:val="decimal"/>
      <w:lvlText w:val="%1、"/>
      <w:lvlJc w:val="left"/>
      <w:pPr>
        <w:ind w:left="1211" w:hanging="360"/>
      </w:pPr>
      <w:rPr>
        <w:rFonts w:hint="default"/>
      </w:rPr>
    </w:lvl>
    <w:lvl w:ilvl="1" w:tentative="0">
      <w:start w:val="1"/>
      <w:numFmt w:val="lowerLetter"/>
      <w:lvlText w:val="%2)"/>
      <w:lvlJc w:val="left"/>
      <w:pPr>
        <w:ind w:left="1733" w:hanging="420"/>
      </w:pPr>
    </w:lvl>
    <w:lvl w:ilvl="2" w:tentative="0">
      <w:start w:val="1"/>
      <w:numFmt w:val="lowerRoman"/>
      <w:lvlText w:val="%3."/>
      <w:lvlJc w:val="right"/>
      <w:pPr>
        <w:ind w:left="2153" w:hanging="420"/>
      </w:pPr>
    </w:lvl>
    <w:lvl w:ilvl="3" w:tentative="0">
      <w:start w:val="1"/>
      <w:numFmt w:val="decimal"/>
      <w:lvlText w:val="%4."/>
      <w:lvlJc w:val="left"/>
      <w:pPr>
        <w:ind w:left="2573" w:hanging="420"/>
      </w:pPr>
    </w:lvl>
    <w:lvl w:ilvl="4" w:tentative="0">
      <w:start w:val="1"/>
      <w:numFmt w:val="lowerLetter"/>
      <w:lvlText w:val="%5)"/>
      <w:lvlJc w:val="left"/>
      <w:pPr>
        <w:ind w:left="2993" w:hanging="420"/>
      </w:pPr>
    </w:lvl>
    <w:lvl w:ilvl="5" w:tentative="0">
      <w:start w:val="1"/>
      <w:numFmt w:val="lowerRoman"/>
      <w:lvlText w:val="%6."/>
      <w:lvlJc w:val="right"/>
      <w:pPr>
        <w:ind w:left="3413" w:hanging="420"/>
      </w:pPr>
    </w:lvl>
    <w:lvl w:ilvl="6" w:tentative="0">
      <w:start w:val="1"/>
      <w:numFmt w:val="decimal"/>
      <w:lvlText w:val="%7."/>
      <w:lvlJc w:val="left"/>
      <w:pPr>
        <w:ind w:left="3833" w:hanging="420"/>
      </w:pPr>
    </w:lvl>
    <w:lvl w:ilvl="7" w:tentative="0">
      <w:start w:val="1"/>
      <w:numFmt w:val="lowerLetter"/>
      <w:lvlText w:val="%8)"/>
      <w:lvlJc w:val="left"/>
      <w:pPr>
        <w:ind w:left="4253" w:hanging="420"/>
      </w:pPr>
    </w:lvl>
    <w:lvl w:ilvl="8" w:tentative="0">
      <w:start w:val="1"/>
      <w:numFmt w:val="lowerRoman"/>
      <w:lvlText w:val="%9."/>
      <w:lvlJc w:val="right"/>
      <w:pPr>
        <w:ind w:left="4673" w:hanging="420"/>
      </w:pPr>
    </w:lvl>
  </w:abstractNum>
  <w:abstractNum w:abstractNumId="1">
    <w:nsid w:val="34AC78FD"/>
    <w:multiLevelType w:val="multilevel"/>
    <w:tmpl w:val="34AC78FD"/>
    <w:lvl w:ilvl="0" w:tentative="0">
      <w:start w:val="1"/>
      <w:numFmt w:val="japaneseCounting"/>
      <w:lvlText w:val="%1、"/>
      <w:lvlJc w:val="left"/>
      <w:pPr>
        <w:ind w:left="893" w:hanging="480"/>
      </w:pPr>
      <w:rPr>
        <w:rFonts w:hint="default"/>
      </w:rPr>
    </w:lvl>
    <w:lvl w:ilvl="1" w:tentative="0">
      <w:start w:val="1"/>
      <w:numFmt w:val="lowerLetter"/>
      <w:lvlText w:val="%2)"/>
      <w:lvlJc w:val="left"/>
      <w:pPr>
        <w:ind w:left="1253" w:hanging="420"/>
      </w:pPr>
    </w:lvl>
    <w:lvl w:ilvl="2" w:tentative="0">
      <w:start w:val="1"/>
      <w:numFmt w:val="lowerRoman"/>
      <w:lvlText w:val="%3."/>
      <w:lvlJc w:val="right"/>
      <w:pPr>
        <w:ind w:left="1673" w:hanging="420"/>
      </w:pPr>
    </w:lvl>
    <w:lvl w:ilvl="3" w:tentative="0">
      <w:start w:val="1"/>
      <w:numFmt w:val="decimal"/>
      <w:lvlText w:val="%4."/>
      <w:lvlJc w:val="left"/>
      <w:pPr>
        <w:ind w:left="2093" w:hanging="420"/>
      </w:pPr>
    </w:lvl>
    <w:lvl w:ilvl="4" w:tentative="0">
      <w:start w:val="1"/>
      <w:numFmt w:val="lowerLetter"/>
      <w:lvlText w:val="%5)"/>
      <w:lvlJc w:val="left"/>
      <w:pPr>
        <w:ind w:left="2513" w:hanging="420"/>
      </w:pPr>
    </w:lvl>
    <w:lvl w:ilvl="5" w:tentative="0">
      <w:start w:val="1"/>
      <w:numFmt w:val="lowerRoman"/>
      <w:lvlText w:val="%6."/>
      <w:lvlJc w:val="right"/>
      <w:pPr>
        <w:ind w:left="2933" w:hanging="420"/>
      </w:pPr>
    </w:lvl>
    <w:lvl w:ilvl="6" w:tentative="0">
      <w:start w:val="1"/>
      <w:numFmt w:val="decimal"/>
      <w:lvlText w:val="%7."/>
      <w:lvlJc w:val="left"/>
      <w:pPr>
        <w:ind w:left="3353" w:hanging="420"/>
      </w:pPr>
    </w:lvl>
    <w:lvl w:ilvl="7" w:tentative="0">
      <w:start w:val="1"/>
      <w:numFmt w:val="lowerLetter"/>
      <w:lvlText w:val="%8)"/>
      <w:lvlJc w:val="left"/>
      <w:pPr>
        <w:ind w:left="3773" w:hanging="420"/>
      </w:pPr>
    </w:lvl>
    <w:lvl w:ilvl="8" w:tentative="0">
      <w:start w:val="1"/>
      <w:numFmt w:val="lowerRoman"/>
      <w:lvlText w:val="%9."/>
      <w:lvlJc w:val="right"/>
      <w:pPr>
        <w:ind w:left="4193" w:hanging="420"/>
      </w:pPr>
    </w:lvl>
  </w:abstractNum>
  <w:abstractNum w:abstractNumId="2">
    <w:nsid w:val="5A215BB7"/>
    <w:multiLevelType w:val="multilevel"/>
    <w:tmpl w:val="5A215BB7"/>
    <w:lvl w:ilvl="0" w:tentative="0">
      <w:start w:val="1"/>
      <w:numFmt w:val="decimal"/>
      <w:lvlText w:val="%1、"/>
      <w:lvlJc w:val="left"/>
      <w:pPr>
        <w:ind w:left="1253" w:hanging="360"/>
      </w:pPr>
      <w:rPr>
        <w:rFonts w:hint="default"/>
      </w:rPr>
    </w:lvl>
    <w:lvl w:ilvl="1" w:tentative="0">
      <w:start w:val="1"/>
      <w:numFmt w:val="lowerLetter"/>
      <w:lvlText w:val="%2)"/>
      <w:lvlJc w:val="left"/>
      <w:pPr>
        <w:ind w:left="1733" w:hanging="420"/>
      </w:pPr>
    </w:lvl>
    <w:lvl w:ilvl="2" w:tentative="0">
      <w:start w:val="1"/>
      <w:numFmt w:val="lowerRoman"/>
      <w:lvlText w:val="%3."/>
      <w:lvlJc w:val="right"/>
      <w:pPr>
        <w:ind w:left="2153" w:hanging="420"/>
      </w:pPr>
    </w:lvl>
    <w:lvl w:ilvl="3" w:tentative="0">
      <w:start w:val="1"/>
      <w:numFmt w:val="decimal"/>
      <w:lvlText w:val="%4."/>
      <w:lvlJc w:val="left"/>
      <w:pPr>
        <w:ind w:left="2573" w:hanging="420"/>
      </w:pPr>
    </w:lvl>
    <w:lvl w:ilvl="4" w:tentative="0">
      <w:start w:val="1"/>
      <w:numFmt w:val="lowerLetter"/>
      <w:lvlText w:val="%5)"/>
      <w:lvlJc w:val="left"/>
      <w:pPr>
        <w:ind w:left="2993" w:hanging="420"/>
      </w:pPr>
    </w:lvl>
    <w:lvl w:ilvl="5" w:tentative="0">
      <w:start w:val="1"/>
      <w:numFmt w:val="lowerRoman"/>
      <w:lvlText w:val="%6."/>
      <w:lvlJc w:val="right"/>
      <w:pPr>
        <w:ind w:left="3413" w:hanging="420"/>
      </w:pPr>
    </w:lvl>
    <w:lvl w:ilvl="6" w:tentative="0">
      <w:start w:val="1"/>
      <w:numFmt w:val="decimal"/>
      <w:lvlText w:val="%7."/>
      <w:lvlJc w:val="left"/>
      <w:pPr>
        <w:ind w:left="3833" w:hanging="420"/>
      </w:pPr>
    </w:lvl>
    <w:lvl w:ilvl="7" w:tentative="0">
      <w:start w:val="1"/>
      <w:numFmt w:val="lowerLetter"/>
      <w:lvlText w:val="%8)"/>
      <w:lvlJc w:val="left"/>
      <w:pPr>
        <w:ind w:left="4253" w:hanging="420"/>
      </w:pPr>
    </w:lvl>
    <w:lvl w:ilvl="8" w:tentative="0">
      <w:start w:val="1"/>
      <w:numFmt w:val="lowerRoman"/>
      <w:lvlText w:val="%9."/>
      <w:lvlJc w:val="right"/>
      <w:pPr>
        <w:ind w:left="4673"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B13"/>
    <w:rsid w:val="0007774F"/>
    <w:rsid w:val="001533C3"/>
    <w:rsid w:val="001C39DB"/>
    <w:rsid w:val="0028514F"/>
    <w:rsid w:val="002D28F7"/>
    <w:rsid w:val="002D2A2F"/>
    <w:rsid w:val="003215D4"/>
    <w:rsid w:val="003353D4"/>
    <w:rsid w:val="003C20BD"/>
    <w:rsid w:val="00465678"/>
    <w:rsid w:val="005346AB"/>
    <w:rsid w:val="00587D98"/>
    <w:rsid w:val="005C0108"/>
    <w:rsid w:val="005F3795"/>
    <w:rsid w:val="00627CC9"/>
    <w:rsid w:val="006C7CED"/>
    <w:rsid w:val="007503DE"/>
    <w:rsid w:val="007B5318"/>
    <w:rsid w:val="007E6E1D"/>
    <w:rsid w:val="00816413"/>
    <w:rsid w:val="008366AD"/>
    <w:rsid w:val="008A4977"/>
    <w:rsid w:val="008A5CD1"/>
    <w:rsid w:val="00A64949"/>
    <w:rsid w:val="00A95B13"/>
    <w:rsid w:val="00AF3AAC"/>
    <w:rsid w:val="00B14EE8"/>
    <w:rsid w:val="00B30C6C"/>
    <w:rsid w:val="00B5086C"/>
    <w:rsid w:val="00B855A5"/>
    <w:rsid w:val="00C57BF3"/>
    <w:rsid w:val="00CE7430"/>
    <w:rsid w:val="00CE7A72"/>
    <w:rsid w:val="00DC59D5"/>
    <w:rsid w:val="00DF03C4"/>
    <w:rsid w:val="00E1710E"/>
    <w:rsid w:val="00EA5681"/>
    <w:rsid w:val="00EF13E7"/>
    <w:rsid w:val="00F16490"/>
    <w:rsid w:val="00F357FE"/>
    <w:rsid w:val="00F36AEB"/>
    <w:rsid w:val="00F47922"/>
    <w:rsid w:val="00F74664"/>
    <w:rsid w:val="00F87BA4"/>
    <w:rsid w:val="00FB651C"/>
    <w:rsid w:val="3B035CAA"/>
    <w:rsid w:val="592D71E3"/>
    <w:rsid w:val="5FBD59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paragraph" w:styleId="8">
    <w:name w:val="List Paragraph"/>
    <w:basedOn w:val="1"/>
    <w:qFormat/>
    <w:uiPriority w:val="34"/>
    <w:pPr>
      <w:ind w:firstLine="420" w:firstLineChars="200"/>
    </w:pPr>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 w:type="character" w:customStyle="1" w:styleId="11">
    <w:name w:val="批注框文本 Char"/>
    <w:basedOn w:val="6"/>
    <w:link w:val="2"/>
    <w:semiHidden/>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455</Words>
  <Characters>2600</Characters>
  <Lines>21</Lines>
  <Paragraphs>6</Paragraphs>
  <TotalTime>80</TotalTime>
  <ScaleCrop>false</ScaleCrop>
  <LinksUpToDate>false</LinksUpToDate>
  <CharactersWithSpaces>3049</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2018-10-23T01:33:00Z</dcterms:created>
  <dc:creator>Administrator</dc:creator>
  <cp:lastModifiedBy>落薇</cp:lastModifiedBy>
  <dcterms:modified xsi:type="dcterms:W3CDTF">2019-11-20T07:33:28Z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